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7A" w:rsidRDefault="0017477A" w:rsidP="004B40AB">
      <w:pPr>
        <w:pStyle w:val="BodyA"/>
      </w:pPr>
    </w:p>
    <w:p w:rsidR="0017477A" w:rsidRDefault="0017477A" w:rsidP="004B40AB">
      <w:pPr>
        <w:pStyle w:val="BodyA"/>
      </w:pP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 xml:space="preserve">Aan: Amsterdam Economic Board </w:t>
      </w: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T.a.v.: Voorzitter Eberhard van der Laan en directeur Nina Tellegen</w:t>
      </w: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Van: International Advisory Board</w:t>
      </w:r>
    </w:p>
    <w:p w:rsidR="0017477A" w:rsidRDefault="0017477A" w:rsidP="004B40AB">
      <w:pPr>
        <w:pStyle w:val="BodyA"/>
        <w:spacing w:line="360" w:lineRule="auto"/>
        <w:rPr>
          <w:rFonts w:ascii="Arial" w:eastAsia="Arial" w:hAnsi="Arial" w:cs="Arial"/>
          <w:sz w:val="24"/>
          <w:szCs w:val="24"/>
        </w:rPr>
      </w:pPr>
    </w:p>
    <w:p w:rsidR="0017477A" w:rsidRDefault="0017477A" w:rsidP="004B40AB">
      <w:pPr>
        <w:pStyle w:val="BodyA"/>
        <w:spacing w:line="360" w:lineRule="auto"/>
        <w:rPr>
          <w:rFonts w:ascii="Arial" w:eastAsia="Arial" w:hAnsi="Arial" w:cs="Arial"/>
          <w:sz w:val="24"/>
          <w:szCs w:val="24"/>
        </w:rPr>
      </w:pP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Betreft:  Eerste bevindingen IAB en voorstel voor werkwijze</w:t>
      </w: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 xml:space="preserve">Amsterdam, </w:t>
      </w:r>
      <w:r w:rsidR="00B75BB4">
        <w:rPr>
          <w:rFonts w:ascii="Arial" w:hAnsi="Arial"/>
          <w:sz w:val="24"/>
          <w:szCs w:val="24"/>
        </w:rPr>
        <w:t>13</w:t>
      </w:r>
      <w:r>
        <w:rPr>
          <w:rFonts w:ascii="Arial" w:hAnsi="Arial"/>
          <w:sz w:val="24"/>
          <w:szCs w:val="24"/>
        </w:rPr>
        <w:t xml:space="preserve"> september 2017</w:t>
      </w:r>
    </w:p>
    <w:p w:rsidR="0017477A" w:rsidRDefault="0017477A" w:rsidP="004B40AB">
      <w:pPr>
        <w:pStyle w:val="BodyA"/>
        <w:spacing w:line="360" w:lineRule="auto"/>
        <w:rPr>
          <w:rFonts w:ascii="Arial" w:eastAsia="Arial" w:hAnsi="Arial" w:cs="Arial"/>
          <w:sz w:val="24"/>
          <w:szCs w:val="24"/>
        </w:rPr>
      </w:pPr>
    </w:p>
    <w:p w:rsidR="004B40AB" w:rsidRPr="00E0347B" w:rsidRDefault="004B40AB" w:rsidP="004B40AB">
      <w:pPr>
        <w:pStyle w:val="BodyA"/>
        <w:spacing w:line="360" w:lineRule="auto"/>
        <w:rPr>
          <w:rFonts w:ascii="Arial" w:eastAsia="Arial" w:hAnsi="Arial" w:cs="Arial"/>
          <w:i/>
          <w:sz w:val="24"/>
          <w:szCs w:val="24"/>
        </w:rPr>
      </w:pPr>
      <w:r w:rsidRPr="00E0347B">
        <w:rPr>
          <w:rFonts w:ascii="Arial" w:eastAsia="Arial" w:hAnsi="Arial" w:cs="Arial"/>
          <w:i/>
          <w:sz w:val="24"/>
          <w:szCs w:val="24"/>
        </w:rPr>
        <w:t xml:space="preserve">Gevraagde beslissing: </w:t>
      </w:r>
    </w:p>
    <w:p w:rsidR="00E0347B" w:rsidRPr="00E0347B" w:rsidRDefault="004B40AB" w:rsidP="004B40AB">
      <w:pPr>
        <w:pStyle w:val="BodyA"/>
        <w:numPr>
          <w:ilvl w:val="0"/>
          <w:numId w:val="8"/>
        </w:numPr>
        <w:spacing w:line="360" w:lineRule="auto"/>
        <w:rPr>
          <w:rFonts w:ascii="Arial" w:eastAsia="Arial" w:hAnsi="Arial" w:cs="Arial"/>
          <w:i/>
          <w:sz w:val="24"/>
          <w:szCs w:val="24"/>
        </w:rPr>
      </w:pPr>
      <w:r w:rsidRPr="00E0347B">
        <w:rPr>
          <w:rFonts w:ascii="Arial" w:eastAsia="Arial" w:hAnsi="Arial" w:cs="Arial"/>
          <w:i/>
          <w:sz w:val="24"/>
          <w:szCs w:val="24"/>
        </w:rPr>
        <w:t xml:space="preserve">Kennisnemen van de activiteiten en bevindingen van de </w:t>
      </w:r>
      <w:r w:rsidR="00E0347B" w:rsidRPr="00E0347B">
        <w:rPr>
          <w:rFonts w:ascii="Arial" w:eastAsia="Arial" w:hAnsi="Arial" w:cs="Arial"/>
          <w:i/>
          <w:sz w:val="24"/>
          <w:szCs w:val="24"/>
        </w:rPr>
        <w:t>IAB van de afgelopen periode.</w:t>
      </w:r>
    </w:p>
    <w:p w:rsidR="008860EC" w:rsidRDefault="008860EC" w:rsidP="004B40AB">
      <w:pPr>
        <w:pStyle w:val="BodyA"/>
        <w:numPr>
          <w:ilvl w:val="0"/>
          <w:numId w:val="8"/>
        </w:numPr>
        <w:spacing w:line="360" w:lineRule="auto"/>
        <w:rPr>
          <w:rFonts w:ascii="Arial" w:eastAsia="Arial" w:hAnsi="Arial" w:cs="Arial"/>
          <w:i/>
          <w:sz w:val="24"/>
          <w:szCs w:val="24"/>
        </w:rPr>
      </w:pPr>
      <w:r>
        <w:rPr>
          <w:rFonts w:ascii="Arial" w:eastAsia="Arial" w:hAnsi="Arial" w:cs="Arial"/>
          <w:i/>
          <w:sz w:val="24"/>
          <w:szCs w:val="24"/>
        </w:rPr>
        <w:t>Instemmen met de voorstellen van de IAB om:</w:t>
      </w:r>
    </w:p>
    <w:p w:rsidR="008860EC" w:rsidRDefault="008860EC" w:rsidP="00B75BB4">
      <w:pPr>
        <w:pStyle w:val="BodyA"/>
        <w:numPr>
          <w:ilvl w:val="1"/>
          <w:numId w:val="8"/>
        </w:numPr>
        <w:spacing w:line="360" w:lineRule="auto"/>
        <w:rPr>
          <w:rFonts w:ascii="Arial" w:eastAsia="Arial" w:hAnsi="Arial" w:cs="Arial"/>
          <w:i/>
          <w:sz w:val="24"/>
          <w:szCs w:val="24"/>
        </w:rPr>
      </w:pPr>
      <w:r>
        <w:rPr>
          <w:rFonts w:ascii="Arial" w:eastAsia="Arial" w:hAnsi="Arial" w:cs="Arial"/>
          <w:i/>
          <w:sz w:val="24"/>
          <w:szCs w:val="24"/>
        </w:rPr>
        <w:t xml:space="preserve">In overleg met Board(organisatie) van start te gaan met een </w:t>
      </w:r>
      <w:r w:rsidRPr="008860EC">
        <w:rPr>
          <w:rFonts w:ascii="Arial" w:eastAsia="Arial" w:hAnsi="Arial" w:cs="Arial"/>
          <w:i/>
          <w:sz w:val="24"/>
          <w:szCs w:val="24"/>
        </w:rPr>
        <w:t>onderzoek naar de vraag of/hoe peer2peer learning meer toepassing kan krijgen bij onderwijs</w:t>
      </w:r>
      <w:r w:rsidR="00B75BB4">
        <w:rPr>
          <w:rFonts w:ascii="Arial" w:eastAsia="Arial" w:hAnsi="Arial" w:cs="Arial"/>
          <w:i/>
          <w:sz w:val="24"/>
          <w:szCs w:val="24"/>
        </w:rPr>
        <w:t>in</w:t>
      </w:r>
      <w:r>
        <w:rPr>
          <w:rFonts w:ascii="Arial" w:eastAsia="Arial" w:hAnsi="Arial" w:cs="Arial"/>
          <w:i/>
          <w:sz w:val="24"/>
          <w:szCs w:val="24"/>
        </w:rPr>
        <w:t>itiatieven in de MRA;</w:t>
      </w:r>
    </w:p>
    <w:p w:rsidR="008860EC" w:rsidRDefault="008860EC" w:rsidP="00B75BB4">
      <w:pPr>
        <w:pStyle w:val="BodyA"/>
        <w:numPr>
          <w:ilvl w:val="1"/>
          <w:numId w:val="8"/>
        </w:numPr>
        <w:spacing w:line="360" w:lineRule="auto"/>
        <w:rPr>
          <w:rFonts w:ascii="Arial" w:eastAsia="Arial" w:hAnsi="Arial" w:cs="Arial"/>
          <w:i/>
          <w:sz w:val="24"/>
          <w:szCs w:val="24"/>
        </w:rPr>
      </w:pPr>
      <w:r>
        <w:rPr>
          <w:rFonts w:ascii="Arial" w:eastAsia="Arial" w:hAnsi="Arial" w:cs="Arial"/>
          <w:i/>
          <w:sz w:val="24"/>
          <w:szCs w:val="24"/>
        </w:rPr>
        <w:t xml:space="preserve">Inclusieve groei te kiezen als overkoepelend thema voor zijn werkzaamheden. </w:t>
      </w:r>
    </w:p>
    <w:p w:rsidR="004B40AB" w:rsidRPr="00E0347B" w:rsidRDefault="00E0347B" w:rsidP="004B40AB">
      <w:pPr>
        <w:pStyle w:val="BodyA"/>
        <w:numPr>
          <w:ilvl w:val="0"/>
          <w:numId w:val="8"/>
        </w:numPr>
        <w:spacing w:line="360" w:lineRule="auto"/>
        <w:rPr>
          <w:rFonts w:ascii="Arial" w:eastAsia="Arial" w:hAnsi="Arial" w:cs="Arial"/>
          <w:i/>
          <w:sz w:val="24"/>
          <w:szCs w:val="24"/>
        </w:rPr>
      </w:pPr>
      <w:r w:rsidRPr="00E0347B">
        <w:rPr>
          <w:rFonts w:ascii="Arial" w:eastAsia="Arial" w:hAnsi="Arial" w:cs="Arial"/>
          <w:i/>
          <w:sz w:val="24"/>
          <w:szCs w:val="24"/>
        </w:rPr>
        <w:t>Instemmen met de voorgestelde</w:t>
      </w:r>
      <w:r w:rsidR="004B40AB" w:rsidRPr="00E0347B">
        <w:rPr>
          <w:rFonts w:ascii="Arial" w:eastAsia="Arial" w:hAnsi="Arial" w:cs="Arial"/>
          <w:i/>
          <w:sz w:val="24"/>
          <w:szCs w:val="24"/>
        </w:rPr>
        <w:t xml:space="preserve"> werkaanpak </w:t>
      </w:r>
      <w:r w:rsidRPr="00E0347B">
        <w:rPr>
          <w:rFonts w:ascii="Arial" w:eastAsia="Arial" w:hAnsi="Arial" w:cs="Arial"/>
          <w:i/>
          <w:sz w:val="24"/>
          <w:szCs w:val="24"/>
        </w:rPr>
        <w:t xml:space="preserve">van de IAB </w:t>
      </w:r>
      <w:r w:rsidR="004B40AB" w:rsidRPr="00E0347B">
        <w:rPr>
          <w:rFonts w:ascii="Arial" w:eastAsia="Arial" w:hAnsi="Arial" w:cs="Arial"/>
          <w:i/>
          <w:sz w:val="24"/>
          <w:szCs w:val="24"/>
        </w:rPr>
        <w:t xml:space="preserve">voor de komende periode. </w:t>
      </w:r>
    </w:p>
    <w:p w:rsidR="00E0347B" w:rsidRPr="00E0347B" w:rsidRDefault="00E0347B" w:rsidP="004B40AB">
      <w:pPr>
        <w:pStyle w:val="BodyA"/>
        <w:spacing w:line="360" w:lineRule="auto"/>
        <w:rPr>
          <w:rFonts w:ascii="Arial" w:hAnsi="Arial"/>
          <w:i/>
          <w:sz w:val="24"/>
          <w:szCs w:val="24"/>
        </w:rPr>
      </w:pP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Beste leden van de Economic Board,</w:t>
      </w:r>
    </w:p>
    <w:p w:rsidR="0017477A" w:rsidRDefault="0017477A" w:rsidP="004B40AB">
      <w:pPr>
        <w:pStyle w:val="BodyA"/>
        <w:spacing w:line="360" w:lineRule="auto"/>
        <w:rPr>
          <w:rFonts w:ascii="Arial" w:eastAsia="Arial" w:hAnsi="Arial" w:cs="Arial"/>
          <w:sz w:val="24"/>
          <w:szCs w:val="24"/>
        </w:rPr>
      </w:pPr>
    </w:p>
    <w:p w:rsidR="004B40AB" w:rsidRDefault="008860EC" w:rsidP="004B40AB">
      <w:pPr>
        <w:pStyle w:val="BodyA"/>
        <w:spacing w:line="360" w:lineRule="auto"/>
        <w:rPr>
          <w:rFonts w:ascii="Arial" w:hAnsi="Arial"/>
          <w:sz w:val="24"/>
          <w:szCs w:val="24"/>
        </w:rPr>
      </w:pPr>
      <w:r>
        <w:rPr>
          <w:rFonts w:ascii="Arial" w:hAnsi="Arial"/>
          <w:sz w:val="24"/>
          <w:szCs w:val="24"/>
        </w:rPr>
        <w:t>Eind 2016 is de International Advisory Board (IAB) ingesteld. De doelstelling van de IAB was tweeledig</w:t>
      </w:r>
      <w:r w:rsidR="004B40AB">
        <w:rPr>
          <w:rFonts w:ascii="Arial" w:hAnsi="Arial"/>
          <w:sz w:val="24"/>
          <w:szCs w:val="24"/>
        </w:rPr>
        <w:t xml:space="preserve">: </w:t>
      </w:r>
    </w:p>
    <w:p w:rsidR="004B40AB" w:rsidRDefault="008860EC" w:rsidP="004B40AB">
      <w:pPr>
        <w:pStyle w:val="BodyA"/>
        <w:numPr>
          <w:ilvl w:val="0"/>
          <w:numId w:val="7"/>
        </w:numPr>
        <w:spacing w:line="360" w:lineRule="auto"/>
        <w:rPr>
          <w:rFonts w:ascii="Arial" w:hAnsi="Arial"/>
          <w:sz w:val="24"/>
          <w:szCs w:val="24"/>
        </w:rPr>
      </w:pPr>
      <w:r>
        <w:rPr>
          <w:rFonts w:ascii="Arial" w:hAnsi="Arial"/>
          <w:sz w:val="24"/>
          <w:szCs w:val="24"/>
        </w:rPr>
        <w:t>de Board te helpen om nog nadrukkelijker een verbi</w:t>
      </w:r>
      <w:r w:rsidR="004B40AB">
        <w:rPr>
          <w:rFonts w:ascii="Arial" w:hAnsi="Arial"/>
          <w:sz w:val="24"/>
          <w:szCs w:val="24"/>
        </w:rPr>
        <w:t xml:space="preserve">nding te leggen tussen het werk </w:t>
      </w:r>
      <w:r>
        <w:rPr>
          <w:rFonts w:ascii="Arial" w:hAnsi="Arial"/>
          <w:sz w:val="24"/>
          <w:szCs w:val="24"/>
        </w:rPr>
        <w:t xml:space="preserve">van de Board(organisatie) en de internationale omgeving. </w:t>
      </w:r>
    </w:p>
    <w:p w:rsidR="0017477A" w:rsidRDefault="008860EC" w:rsidP="004B40AB">
      <w:pPr>
        <w:pStyle w:val="BodyA"/>
        <w:numPr>
          <w:ilvl w:val="0"/>
          <w:numId w:val="7"/>
        </w:numPr>
        <w:spacing w:line="360" w:lineRule="auto"/>
        <w:rPr>
          <w:rFonts w:ascii="Arial" w:eastAsia="Arial" w:hAnsi="Arial" w:cs="Arial"/>
          <w:sz w:val="24"/>
          <w:szCs w:val="24"/>
        </w:rPr>
      </w:pPr>
      <w:r>
        <w:rPr>
          <w:rFonts w:ascii="Arial" w:hAnsi="Arial"/>
          <w:sz w:val="24"/>
          <w:szCs w:val="24"/>
        </w:rPr>
        <w:t xml:space="preserve">de Board te voeden met informatie over relevante ontwikkelingen in die internationale omgeving en wat deze kunnen betekenen voor de inzet vanuit de Board(organisatie). </w:t>
      </w:r>
    </w:p>
    <w:p w:rsidR="0017477A" w:rsidRDefault="0017477A" w:rsidP="004B40AB">
      <w:pPr>
        <w:pStyle w:val="BodyA"/>
        <w:spacing w:line="360" w:lineRule="auto"/>
        <w:rPr>
          <w:rFonts w:ascii="Arial" w:eastAsia="Arial" w:hAnsi="Arial" w:cs="Arial"/>
          <w:sz w:val="24"/>
          <w:szCs w:val="24"/>
        </w:rPr>
      </w:pP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Met deze brief wil de IAB de Board:</w:t>
      </w:r>
    </w:p>
    <w:p w:rsidR="0017477A" w:rsidRPr="004B40AB" w:rsidRDefault="008860EC" w:rsidP="004B40AB">
      <w:pPr>
        <w:pStyle w:val="BodyA"/>
        <w:numPr>
          <w:ilvl w:val="0"/>
          <w:numId w:val="7"/>
        </w:numPr>
        <w:spacing w:line="360" w:lineRule="auto"/>
        <w:rPr>
          <w:rFonts w:ascii="Arial" w:hAnsi="Arial"/>
          <w:sz w:val="24"/>
          <w:szCs w:val="24"/>
        </w:rPr>
      </w:pPr>
      <w:r>
        <w:rPr>
          <w:rFonts w:ascii="Arial" w:hAnsi="Arial"/>
          <w:sz w:val="24"/>
          <w:szCs w:val="24"/>
        </w:rPr>
        <w:t xml:space="preserve">inzicht geven in zijn activiteiten en bevindingen van de afgelopen periode. Dit heeft geleid tot een tweetal adviezen </w:t>
      </w:r>
      <w:r w:rsidR="004B40AB">
        <w:rPr>
          <w:rFonts w:ascii="Arial" w:hAnsi="Arial"/>
          <w:sz w:val="24"/>
          <w:szCs w:val="24"/>
        </w:rPr>
        <w:t xml:space="preserve">van de </w:t>
      </w:r>
      <w:r>
        <w:rPr>
          <w:rFonts w:ascii="Arial" w:hAnsi="Arial"/>
          <w:sz w:val="24"/>
          <w:szCs w:val="24"/>
        </w:rPr>
        <w:t xml:space="preserve">IAB </w:t>
      </w:r>
      <w:r w:rsidR="004B40AB">
        <w:rPr>
          <w:rFonts w:ascii="Arial" w:hAnsi="Arial"/>
          <w:sz w:val="24"/>
          <w:szCs w:val="24"/>
        </w:rPr>
        <w:t>aan de Amsterdam Economic Board</w:t>
      </w:r>
      <w:r>
        <w:rPr>
          <w:rFonts w:ascii="Arial" w:hAnsi="Arial"/>
          <w:sz w:val="24"/>
          <w:szCs w:val="24"/>
        </w:rPr>
        <w:t xml:space="preserve">.  </w:t>
      </w:r>
    </w:p>
    <w:p w:rsidR="0017477A" w:rsidRDefault="004B40AB" w:rsidP="004B40AB">
      <w:pPr>
        <w:pStyle w:val="BodyA"/>
        <w:numPr>
          <w:ilvl w:val="0"/>
          <w:numId w:val="7"/>
        </w:numPr>
        <w:spacing w:line="360" w:lineRule="auto"/>
        <w:rPr>
          <w:rFonts w:ascii="Arial" w:eastAsia="Arial" w:hAnsi="Arial" w:cs="Arial"/>
          <w:sz w:val="24"/>
          <w:szCs w:val="24"/>
        </w:rPr>
      </w:pPr>
      <w:r>
        <w:rPr>
          <w:rFonts w:ascii="Arial" w:hAnsi="Arial"/>
          <w:sz w:val="24"/>
          <w:szCs w:val="24"/>
        </w:rPr>
        <w:t xml:space="preserve">een </w:t>
      </w:r>
      <w:r w:rsidR="008860EC">
        <w:rPr>
          <w:rFonts w:ascii="Arial" w:hAnsi="Arial"/>
          <w:sz w:val="24"/>
          <w:szCs w:val="24"/>
        </w:rPr>
        <w:t xml:space="preserve">voorstel neerleggen voor een werkaanpak voor de komende periode. Op de voorgestelde werkaanpak vraagt </w:t>
      </w:r>
      <w:r>
        <w:rPr>
          <w:rFonts w:ascii="Arial" w:hAnsi="Arial"/>
          <w:sz w:val="24"/>
          <w:szCs w:val="24"/>
        </w:rPr>
        <w:t>de IAB een akkoord van de Board.</w:t>
      </w:r>
    </w:p>
    <w:p w:rsidR="0017477A" w:rsidRDefault="0017477A" w:rsidP="004B40AB">
      <w:pPr>
        <w:pStyle w:val="BodyA"/>
        <w:spacing w:line="360" w:lineRule="auto"/>
        <w:rPr>
          <w:rFonts w:ascii="Arial" w:eastAsia="Arial" w:hAnsi="Arial" w:cs="Arial"/>
          <w:sz w:val="24"/>
          <w:szCs w:val="24"/>
        </w:rPr>
      </w:pPr>
    </w:p>
    <w:p w:rsidR="0017477A" w:rsidRDefault="008860EC" w:rsidP="004B40AB">
      <w:pPr>
        <w:pStyle w:val="BodyA"/>
        <w:spacing w:line="360" w:lineRule="auto"/>
        <w:rPr>
          <w:rFonts w:ascii="Arial" w:eastAsia="Arial" w:hAnsi="Arial" w:cs="Arial"/>
          <w:sz w:val="24"/>
          <w:szCs w:val="24"/>
        </w:rPr>
      </w:pPr>
      <w:r>
        <w:rPr>
          <w:rFonts w:ascii="Arial" w:hAnsi="Arial"/>
          <w:b/>
          <w:bCs/>
          <w:sz w:val="24"/>
          <w:szCs w:val="24"/>
        </w:rPr>
        <w:t>Activiteiten in de afgelopen periode</w:t>
      </w:r>
      <w:r>
        <w:rPr>
          <w:rFonts w:ascii="Arial" w:hAnsi="Arial"/>
          <w:sz w:val="24"/>
          <w:szCs w:val="24"/>
        </w:rPr>
        <w:t xml:space="preserve">  </w:t>
      </w:r>
    </w:p>
    <w:p w:rsidR="0017477A" w:rsidRDefault="008860EC" w:rsidP="004B40AB">
      <w:pPr>
        <w:pStyle w:val="BodyA"/>
        <w:spacing w:line="360" w:lineRule="auto"/>
        <w:rPr>
          <w:rFonts w:ascii="Arial" w:eastAsia="Arial" w:hAnsi="Arial" w:cs="Arial"/>
          <w:sz w:val="24"/>
          <w:szCs w:val="24"/>
        </w:rPr>
      </w:pPr>
      <w:r>
        <w:rPr>
          <w:rFonts w:ascii="Arial" w:hAnsi="Arial"/>
          <w:sz w:val="24"/>
          <w:szCs w:val="24"/>
        </w:rPr>
        <w:t>Sinds de feitelijk</w:t>
      </w:r>
      <w:r w:rsidR="004B40AB">
        <w:rPr>
          <w:rFonts w:ascii="Arial" w:hAnsi="Arial"/>
          <w:sz w:val="24"/>
          <w:szCs w:val="24"/>
        </w:rPr>
        <w:t xml:space="preserve">e start eind 2016 heeft de IAB de </w:t>
      </w:r>
      <w:r>
        <w:rPr>
          <w:rFonts w:ascii="Arial" w:hAnsi="Arial"/>
          <w:sz w:val="24"/>
          <w:szCs w:val="24"/>
        </w:rPr>
        <w:t>volgende activiteiten uitgevoerd:</w:t>
      </w:r>
    </w:p>
    <w:p w:rsidR="0017477A" w:rsidRDefault="0017477A" w:rsidP="004B40AB">
      <w:pPr>
        <w:pStyle w:val="BodyA"/>
        <w:spacing w:line="360" w:lineRule="auto"/>
        <w:rPr>
          <w:rFonts w:ascii="Arial" w:eastAsia="Arial" w:hAnsi="Arial" w:cs="Arial"/>
          <w:sz w:val="24"/>
          <w:szCs w:val="24"/>
        </w:rPr>
      </w:pPr>
    </w:p>
    <w:p w:rsidR="0017477A" w:rsidRDefault="008860EC" w:rsidP="004B40AB">
      <w:pPr>
        <w:pStyle w:val="BodyA"/>
        <w:numPr>
          <w:ilvl w:val="0"/>
          <w:numId w:val="2"/>
        </w:numPr>
        <w:spacing w:line="360" w:lineRule="auto"/>
        <w:rPr>
          <w:rFonts w:ascii="Arial" w:eastAsia="Arial" w:hAnsi="Arial" w:cs="Arial"/>
          <w:sz w:val="24"/>
          <w:szCs w:val="24"/>
        </w:rPr>
      </w:pPr>
      <w:r>
        <w:rPr>
          <w:rFonts w:ascii="Arial" w:hAnsi="Arial"/>
          <w:b/>
          <w:bCs/>
          <w:i/>
          <w:iCs/>
          <w:sz w:val="24"/>
          <w:szCs w:val="24"/>
        </w:rPr>
        <w:t>GAP-analyse om te bepalen wat de relatieve positie is van de MRA op elk van de Boarduitdagingen</w:t>
      </w:r>
      <w:r>
        <w:rPr>
          <w:rFonts w:ascii="Arial" w:hAnsi="Arial"/>
          <w:sz w:val="24"/>
          <w:szCs w:val="24"/>
        </w:rPr>
        <w:t xml:space="preserve"> . </w:t>
      </w:r>
    </w:p>
    <w:p w:rsidR="0017477A" w:rsidRDefault="004B40AB">
      <w:pPr>
        <w:pStyle w:val="BodyA"/>
        <w:spacing w:line="360" w:lineRule="auto"/>
        <w:rPr>
          <w:rFonts w:ascii="Arial" w:hAnsi="Arial"/>
          <w:sz w:val="24"/>
          <w:szCs w:val="24"/>
        </w:rPr>
      </w:pPr>
      <w:r>
        <w:rPr>
          <w:rFonts w:ascii="Arial" w:hAnsi="Arial"/>
          <w:sz w:val="24"/>
          <w:szCs w:val="24"/>
        </w:rPr>
        <w:t xml:space="preserve">De </w:t>
      </w:r>
      <w:r w:rsidR="008860EC">
        <w:rPr>
          <w:rFonts w:ascii="Arial" w:hAnsi="Arial"/>
          <w:sz w:val="24"/>
          <w:szCs w:val="24"/>
        </w:rPr>
        <w:t>IAB heeft in beeld gebracht h</w:t>
      </w:r>
      <w:r w:rsidR="00B75BB4">
        <w:rPr>
          <w:rFonts w:ascii="Arial" w:hAnsi="Arial"/>
          <w:sz w:val="24"/>
          <w:szCs w:val="24"/>
        </w:rPr>
        <w:t>oe de MRA internationaal scoort</w:t>
      </w:r>
      <w:r w:rsidR="008860EC">
        <w:rPr>
          <w:rFonts w:ascii="Arial" w:hAnsi="Arial"/>
          <w:sz w:val="24"/>
          <w:szCs w:val="24"/>
        </w:rPr>
        <w:t xml:space="preserve"> en welke stedelijke regio’s als inspirerend voorbeeld kunnen dienen. De zgn. IAB GAP-analyse</w:t>
      </w:r>
      <w:r w:rsidR="00E0347B">
        <w:rPr>
          <w:rStyle w:val="Voetnootmarkering"/>
          <w:rFonts w:ascii="Arial" w:hAnsi="Arial"/>
          <w:sz w:val="24"/>
          <w:szCs w:val="24"/>
        </w:rPr>
        <w:footnoteReference w:id="1"/>
      </w:r>
      <w:r w:rsidR="008860EC">
        <w:rPr>
          <w:rFonts w:ascii="Arial" w:hAnsi="Arial"/>
          <w:sz w:val="24"/>
          <w:szCs w:val="24"/>
        </w:rPr>
        <w:t xml:space="preserve"> is een interpretatie van het PWC rapport </w:t>
      </w:r>
      <w:r>
        <w:rPr>
          <w:rFonts w:ascii="Arial" w:hAnsi="Arial"/>
          <w:sz w:val="24"/>
          <w:szCs w:val="24"/>
        </w:rPr>
        <w:t xml:space="preserve">Cities of Opportunity en </w:t>
      </w:r>
      <w:r w:rsidR="008860EC">
        <w:rPr>
          <w:rFonts w:ascii="Arial" w:hAnsi="Arial"/>
          <w:sz w:val="24"/>
          <w:szCs w:val="24"/>
        </w:rPr>
        <w:t xml:space="preserve">diverse </w:t>
      </w:r>
      <w:r>
        <w:rPr>
          <w:rFonts w:ascii="Arial" w:hAnsi="Arial"/>
          <w:sz w:val="24"/>
          <w:szCs w:val="24"/>
        </w:rPr>
        <w:t xml:space="preserve">andere </w:t>
      </w:r>
      <w:r w:rsidR="008860EC">
        <w:rPr>
          <w:rFonts w:ascii="Arial" w:hAnsi="Arial"/>
          <w:sz w:val="24"/>
          <w:szCs w:val="24"/>
        </w:rPr>
        <w:t xml:space="preserve">internationale benchmarks. De IAB GAP-analyse geeft </w:t>
      </w:r>
      <w:r w:rsidR="00E0347B">
        <w:rPr>
          <w:rFonts w:ascii="Arial" w:hAnsi="Arial"/>
          <w:sz w:val="24"/>
          <w:szCs w:val="24"/>
        </w:rPr>
        <w:t xml:space="preserve">een </w:t>
      </w:r>
      <w:r w:rsidR="00E0347B" w:rsidRPr="00B75BB4">
        <w:rPr>
          <w:rFonts w:ascii="Arial" w:hAnsi="Arial"/>
          <w:sz w:val="24"/>
          <w:szCs w:val="24"/>
        </w:rPr>
        <w:t xml:space="preserve">globaal </w:t>
      </w:r>
      <w:r w:rsidR="008860EC" w:rsidRPr="00B75BB4">
        <w:rPr>
          <w:rFonts w:ascii="Arial" w:hAnsi="Arial"/>
          <w:sz w:val="24"/>
          <w:szCs w:val="24"/>
        </w:rPr>
        <w:t>zicht</w:t>
      </w:r>
      <w:r w:rsidR="008860EC">
        <w:rPr>
          <w:rFonts w:ascii="Arial" w:hAnsi="Arial"/>
          <w:sz w:val="24"/>
          <w:szCs w:val="24"/>
        </w:rPr>
        <w:t xml:space="preserve"> op de relatieve positie van </w:t>
      </w:r>
      <w:r w:rsidR="00B75BB4">
        <w:rPr>
          <w:rFonts w:ascii="Arial" w:hAnsi="Arial"/>
          <w:sz w:val="24"/>
          <w:szCs w:val="24"/>
        </w:rPr>
        <w:t xml:space="preserve">de </w:t>
      </w:r>
      <w:r w:rsidR="008860EC">
        <w:rPr>
          <w:rFonts w:ascii="Arial" w:hAnsi="Arial"/>
          <w:sz w:val="24"/>
          <w:szCs w:val="24"/>
        </w:rPr>
        <w:t>MRA (t.o.v. a</w:t>
      </w:r>
      <w:r w:rsidR="00E0347B">
        <w:rPr>
          <w:rFonts w:ascii="Arial" w:hAnsi="Arial"/>
          <w:sz w:val="24"/>
          <w:szCs w:val="24"/>
        </w:rPr>
        <w:t>ndere vooroplopende steden per u</w:t>
      </w:r>
      <w:r w:rsidR="008860EC">
        <w:rPr>
          <w:rFonts w:ascii="Arial" w:hAnsi="Arial"/>
          <w:sz w:val="24"/>
          <w:szCs w:val="24"/>
        </w:rPr>
        <w:t xml:space="preserve">itdaging), maar geeft </w:t>
      </w:r>
      <w:r w:rsidR="0078585F">
        <w:rPr>
          <w:rFonts w:ascii="Arial" w:hAnsi="Arial"/>
          <w:sz w:val="24"/>
          <w:szCs w:val="24"/>
        </w:rPr>
        <w:t>slechts een beperkt beeld van</w:t>
      </w:r>
      <w:r w:rsidR="008860EC">
        <w:rPr>
          <w:rFonts w:ascii="Arial" w:hAnsi="Arial"/>
          <w:sz w:val="24"/>
          <w:szCs w:val="24"/>
        </w:rPr>
        <w:t xml:space="preserve"> de ‘gap’ tussen de geformuleerde MRA-ambitie en de feitelijke situatie in de MRA op elk van de uitdagingen. </w:t>
      </w:r>
    </w:p>
    <w:p w:rsidR="0017477A" w:rsidRDefault="0017477A">
      <w:pPr>
        <w:pStyle w:val="BodyA"/>
        <w:spacing w:line="360" w:lineRule="auto"/>
        <w:rPr>
          <w:rFonts w:ascii="Arial" w:eastAsia="Arial" w:hAnsi="Arial" w:cs="Arial"/>
          <w:sz w:val="24"/>
          <w:szCs w:val="24"/>
        </w:rPr>
      </w:pPr>
    </w:p>
    <w:p w:rsidR="0017477A" w:rsidRDefault="008860EC">
      <w:pPr>
        <w:pStyle w:val="BodyA"/>
        <w:numPr>
          <w:ilvl w:val="0"/>
          <w:numId w:val="2"/>
        </w:numPr>
        <w:spacing w:line="360" w:lineRule="auto"/>
        <w:rPr>
          <w:rFonts w:ascii="Arial" w:eastAsia="Arial" w:hAnsi="Arial" w:cs="Arial"/>
          <w:i/>
          <w:iCs/>
          <w:sz w:val="24"/>
          <w:szCs w:val="24"/>
        </w:rPr>
      </w:pPr>
      <w:r>
        <w:rPr>
          <w:rFonts w:ascii="Arial" w:hAnsi="Arial"/>
          <w:b/>
          <w:bCs/>
          <w:i/>
          <w:iCs/>
          <w:sz w:val="24"/>
          <w:szCs w:val="24"/>
        </w:rPr>
        <w:t>Opleveren van relevante internationale case studies</w:t>
      </w:r>
      <w:r>
        <w:rPr>
          <w:rFonts w:ascii="Arial" w:hAnsi="Arial"/>
          <w:sz w:val="24"/>
          <w:szCs w:val="24"/>
        </w:rPr>
        <w:t xml:space="preserve"> </w:t>
      </w:r>
    </w:p>
    <w:p w:rsidR="0017477A" w:rsidRDefault="008860EC">
      <w:pPr>
        <w:pStyle w:val="BodyA"/>
        <w:spacing w:line="360" w:lineRule="auto"/>
        <w:rPr>
          <w:rFonts w:ascii="Arial" w:eastAsia="Arial" w:hAnsi="Arial" w:cs="Arial"/>
          <w:sz w:val="24"/>
          <w:szCs w:val="24"/>
        </w:rPr>
      </w:pPr>
      <w:r>
        <w:rPr>
          <w:rFonts w:ascii="Arial" w:hAnsi="Arial"/>
          <w:sz w:val="24"/>
          <w:szCs w:val="24"/>
        </w:rPr>
        <w:t>Als uitvloeisel van de ‘gap’-analyse heeft de IAB – verdeeld over de uitdagingen – een aantal internationale case studies geïdentificeerd en geanalyseerd die inspiratie kunnen bieden voor de Board(organisatie)</w:t>
      </w:r>
      <w:r w:rsidR="0078585F">
        <w:rPr>
          <w:rStyle w:val="Voetnootmarkering"/>
          <w:rFonts w:ascii="Arial" w:hAnsi="Arial"/>
          <w:sz w:val="24"/>
          <w:szCs w:val="24"/>
        </w:rPr>
        <w:footnoteReference w:id="2"/>
      </w:r>
      <w:r>
        <w:rPr>
          <w:rFonts w:ascii="Arial" w:hAnsi="Arial"/>
          <w:sz w:val="24"/>
          <w:szCs w:val="24"/>
        </w:rPr>
        <w:t xml:space="preserve">: </w:t>
      </w:r>
    </w:p>
    <w:p w:rsidR="0017477A" w:rsidRDefault="008860EC">
      <w:pPr>
        <w:pStyle w:val="BodyA"/>
        <w:numPr>
          <w:ilvl w:val="0"/>
          <w:numId w:val="4"/>
        </w:numPr>
        <w:spacing w:line="360" w:lineRule="auto"/>
        <w:rPr>
          <w:rFonts w:ascii="Arial" w:eastAsia="Arial" w:hAnsi="Arial" w:cs="Arial"/>
          <w:sz w:val="24"/>
          <w:szCs w:val="24"/>
        </w:rPr>
      </w:pPr>
      <w:r>
        <w:rPr>
          <w:rFonts w:ascii="Arial" w:hAnsi="Arial"/>
          <w:sz w:val="24"/>
          <w:szCs w:val="24"/>
        </w:rPr>
        <w:t xml:space="preserve">Voor circulaire economie: London Waste and Recycling Board; Groen Inkopen voor overheden in Denemarken; </w:t>
      </w:r>
    </w:p>
    <w:p w:rsidR="0017477A" w:rsidRDefault="008860EC">
      <w:pPr>
        <w:pStyle w:val="BodyA"/>
        <w:numPr>
          <w:ilvl w:val="0"/>
          <w:numId w:val="4"/>
        </w:numPr>
        <w:spacing w:line="360" w:lineRule="auto"/>
        <w:rPr>
          <w:rFonts w:ascii="Arial" w:eastAsia="Arial" w:hAnsi="Arial" w:cs="Arial"/>
          <w:sz w:val="24"/>
          <w:szCs w:val="24"/>
        </w:rPr>
      </w:pPr>
      <w:r>
        <w:rPr>
          <w:rFonts w:ascii="Arial" w:hAnsi="Arial"/>
          <w:sz w:val="24"/>
          <w:szCs w:val="24"/>
        </w:rPr>
        <w:t>Voor talent voor de toekomst: Ecol</w:t>
      </w:r>
      <w:r w:rsidR="00B75BB4">
        <w:rPr>
          <w:rFonts w:ascii="Arial" w:hAnsi="Arial"/>
          <w:sz w:val="24"/>
          <w:szCs w:val="24"/>
        </w:rPr>
        <w:t>e</w:t>
      </w:r>
      <w:r>
        <w:rPr>
          <w:rFonts w:ascii="Arial" w:hAnsi="Arial"/>
          <w:sz w:val="24"/>
          <w:szCs w:val="24"/>
        </w:rPr>
        <w:t xml:space="preserve"> 42 in Parijs, Aanpak om internationaal talent aan te trekken van Berlijn; </w:t>
      </w:r>
    </w:p>
    <w:p w:rsidR="0017477A" w:rsidRDefault="008860EC">
      <w:pPr>
        <w:pStyle w:val="BodyA"/>
        <w:numPr>
          <w:ilvl w:val="0"/>
          <w:numId w:val="4"/>
        </w:numPr>
        <w:spacing w:line="360" w:lineRule="auto"/>
        <w:rPr>
          <w:rFonts w:ascii="Arial" w:eastAsia="Arial" w:hAnsi="Arial" w:cs="Arial"/>
          <w:sz w:val="24"/>
          <w:szCs w:val="24"/>
          <w:lang w:val="en-US"/>
        </w:rPr>
      </w:pPr>
      <w:r>
        <w:rPr>
          <w:rFonts w:ascii="Arial" w:hAnsi="Arial"/>
          <w:sz w:val="24"/>
          <w:szCs w:val="24"/>
          <w:lang w:val="en-US"/>
        </w:rPr>
        <w:t>Voor mobiliteit: MaaS (Mobility as a service)-aanpak in Helsinki; Fossil fuel-free Stockholm;</w:t>
      </w:r>
    </w:p>
    <w:p w:rsidR="0017477A" w:rsidRDefault="008860EC">
      <w:pPr>
        <w:pStyle w:val="BodyA"/>
        <w:numPr>
          <w:ilvl w:val="0"/>
          <w:numId w:val="4"/>
        </w:numPr>
        <w:spacing w:line="360" w:lineRule="auto"/>
        <w:rPr>
          <w:rFonts w:ascii="Arial" w:eastAsia="Arial" w:hAnsi="Arial" w:cs="Arial"/>
          <w:sz w:val="24"/>
          <w:szCs w:val="24"/>
          <w:lang w:val="en-US"/>
        </w:rPr>
      </w:pPr>
      <w:r>
        <w:rPr>
          <w:rFonts w:ascii="Arial" w:hAnsi="Arial"/>
          <w:sz w:val="24"/>
          <w:szCs w:val="24"/>
          <w:lang w:val="en-US"/>
        </w:rPr>
        <w:t xml:space="preserve">Voor gezondheid: Boston’s Center for Clinical Data Science. </w:t>
      </w:r>
    </w:p>
    <w:p w:rsidR="0017477A" w:rsidRDefault="008860EC">
      <w:pPr>
        <w:pStyle w:val="BodyA"/>
        <w:spacing w:line="360" w:lineRule="auto"/>
        <w:rPr>
          <w:rFonts w:ascii="Arial" w:eastAsia="Arial" w:hAnsi="Arial" w:cs="Arial"/>
          <w:sz w:val="24"/>
          <w:szCs w:val="24"/>
        </w:rPr>
      </w:pPr>
      <w:r>
        <w:rPr>
          <w:rFonts w:ascii="Arial" w:hAnsi="Arial"/>
          <w:sz w:val="24"/>
          <w:szCs w:val="24"/>
        </w:rPr>
        <w:t>Een deel van deze case studies is inmiddels gepresenteerd aan de relevante teams van de Boardorganisatie.</w:t>
      </w:r>
    </w:p>
    <w:p w:rsidR="0017477A" w:rsidRDefault="0017477A">
      <w:pPr>
        <w:pStyle w:val="BodyA"/>
        <w:spacing w:line="360" w:lineRule="auto"/>
        <w:rPr>
          <w:rFonts w:ascii="Arial" w:eastAsia="Arial" w:hAnsi="Arial" w:cs="Arial"/>
          <w:sz w:val="24"/>
          <w:szCs w:val="24"/>
        </w:rPr>
      </w:pP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De case </w:t>
      </w:r>
      <w:r w:rsidR="00B75BB4">
        <w:rPr>
          <w:rFonts w:ascii="Arial" w:hAnsi="Arial"/>
          <w:i/>
          <w:iCs/>
          <w:sz w:val="24"/>
          <w:szCs w:val="24"/>
        </w:rPr>
        <w:t>Ecole</w:t>
      </w:r>
      <w:r>
        <w:rPr>
          <w:rFonts w:ascii="Arial" w:hAnsi="Arial"/>
          <w:i/>
          <w:iCs/>
          <w:sz w:val="24"/>
          <w:szCs w:val="24"/>
        </w:rPr>
        <w:t xml:space="preserve"> 42</w:t>
      </w:r>
      <w:r>
        <w:rPr>
          <w:rFonts w:ascii="Arial" w:hAnsi="Arial"/>
          <w:sz w:val="24"/>
          <w:szCs w:val="24"/>
        </w:rPr>
        <w:t xml:space="preserve"> (een lesgeld vrije ICT school, zonder leraren en roosters, waar 5.000 studenten per jaar leren programmeren door opdrachten en peer2peer learning) is in de IAB besproken en vervolgens heeft Corinne Vigreux het voortouw genomen om deze opleiding naar Amsterdam te halen (vertrouwelijk!). De IAB stelt dat de Peer2Peer learning principes die ten grondslag liggen aan Ecole 42 (en soortgelijke aanbieders) ook beschikbaar kunnen worden gemaakt voor andere onderwijsinitiatieven in de MRA. Een potentieel effect is het verkleinen van het lerarentekort en het vergroten van </w:t>
      </w:r>
      <w:r w:rsidR="0075249D">
        <w:rPr>
          <w:rFonts w:ascii="Arial" w:hAnsi="Arial"/>
          <w:sz w:val="24"/>
          <w:szCs w:val="24"/>
        </w:rPr>
        <w:t xml:space="preserve">de </w:t>
      </w:r>
      <w:r>
        <w:rPr>
          <w:rFonts w:ascii="Arial" w:hAnsi="Arial"/>
          <w:sz w:val="24"/>
          <w:szCs w:val="24"/>
        </w:rPr>
        <w:t>zelf-leerzaamheid van MRA inwoners.</w:t>
      </w:r>
    </w:p>
    <w:p w:rsidR="0017477A" w:rsidRDefault="0078585F">
      <w:pPr>
        <w:pStyle w:val="BodyA"/>
        <w:spacing w:line="360" w:lineRule="auto"/>
        <w:rPr>
          <w:rFonts w:ascii="Arial" w:eastAsia="Arial" w:hAnsi="Arial" w:cs="Arial"/>
          <w:sz w:val="24"/>
          <w:szCs w:val="24"/>
          <w:u w:val="single"/>
        </w:rPr>
      </w:pPr>
      <w:r>
        <w:rPr>
          <w:rFonts w:ascii="Arial" w:hAnsi="Arial"/>
          <w:sz w:val="24"/>
          <w:szCs w:val="24"/>
          <w:u w:val="single"/>
        </w:rPr>
        <w:t>Voorstel</w:t>
      </w:r>
      <w:r w:rsidR="008860EC">
        <w:rPr>
          <w:rFonts w:ascii="Arial" w:hAnsi="Arial"/>
          <w:sz w:val="24"/>
          <w:szCs w:val="24"/>
          <w:u w:val="single"/>
        </w:rPr>
        <w:t xml:space="preserve"> IAB: </w:t>
      </w:r>
      <w:r w:rsidR="00750D3F">
        <w:rPr>
          <w:rFonts w:ascii="Arial" w:hAnsi="Arial"/>
          <w:sz w:val="24"/>
          <w:szCs w:val="24"/>
          <w:u w:val="single"/>
        </w:rPr>
        <w:t>IAB doet samen met Board(organisatie)</w:t>
      </w:r>
      <w:r>
        <w:rPr>
          <w:rFonts w:ascii="Arial" w:hAnsi="Arial"/>
          <w:sz w:val="24"/>
          <w:szCs w:val="24"/>
          <w:u w:val="single"/>
        </w:rPr>
        <w:t xml:space="preserve"> </w:t>
      </w:r>
      <w:r w:rsidR="008860EC">
        <w:rPr>
          <w:rFonts w:ascii="Arial" w:hAnsi="Arial"/>
          <w:sz w:val="24"/>
          <w:szCs w:val="24"/>
          <w:u w:val="single"/>
        </w:rPr>
        <w:t xml:space="preserve">onderzoek </w:t>
      </w:r>
      <w:r>
        <w:rPr>
          <w:rFonts w:ascii="Arial" w:hAnsi="Arial"/>
          <w:sz w:val="24"/>
          <w:szCs w:val="24"/>
          <w:u w:val="single"/>
        </w:rPr>
        <w:t xml:space="preserve">naar de vraag </w:t>
      </w:r>
      <w:r w:rsidR="008860EC">
        <w:rPr>
          <w:rFonts w:ascii="Arial" w:hAnsi="Arial"/>
          <w:sz w:val="24"/>
          <w:szCs w:val="24"/>
          <w:u w:val="single"/>
        </w:rPr>
        <w:t>of/hoe peer2peer learning meer toepassing kan krijgen bij onderwijsin</w:t>
      </w:r>
      <w:r>
        <w:rPr>
          <w:rFonts w:ascii="Arial" w:hAnsi="Arial"/>
          <w:sz w:val="24"/>
          <w:szCs w:val="24"/>
          <w:u w:val="single"/>
        </w:rPr>
        <w:t>itiatiev</w:t>
      </w:r>
      <w:r w:rsidR="008860EC">
        <w:rPr>
          <w:rFonts w:ascii="Arial" w:hAnsi="Arial"/>
          <w:sz w:val="24"/>
          <w:szCs w:val="24"/>
          <w:u w:val="single"/>
        </w:rPr>
        <w:t>en in de MRA.</w:t>
      </w:r>
    </w:p>
    <w:p w:rsidR="0017477A" w:rsidRDefault="0017477A">
      <w:pPr>
        <w:pStyle w:val="BodyA"/>
        <w:spacing w:line="360" w:lineRule="auto"/>
        <w:rPr>
          <w:rFonts w:ascii="Arial" w:eastAsia="Arial" w:hAnsi="Arial" w:cs="Arial"/>
          <w:i/>
          <w:iCs/>
          <w:sz w:val="24"/>
          <w:szCs w:val="24"/>
        </w:rPr>
      </w:pPr>
    </w:p>
    <w:p w:rsidR="0017477A" w:rsidRDefault="008860EC">
      <w:pPr>
        <w:pStyle w:val="BodyA"/>
        <w:numPr>
          <w:ilvl w:val="0"/>
          <w:numId w:val="5"/>
        </w:numPr>
        <w:spacing w:line="360" w:lineRule="auto"/>
        <w:rPr>
          <w:rFonts w:ascii="Arial" w:eastAsia="Arial" w:hAnsi="Arial" w:cs="Arial"/>
          <w:b/>
          <w:bCs/>
          <w:i/>
          <w:iCs/>
          <w:sz w:val="24"/>
          <w:szCs w:val="24"/>
        </w:rPr>
      </w:pPr>
      <w:r>
        <w:rPr>
          <w:rFonts w:ascii="Arial" w:hAnsi="Arial"/>
          <w:b/>
          <w:bCs/>
          <w:i/>
          <w:iCs/>
          <w:sz w:val="24"/>
          <w:szCs w:val="24"/>
        </w:rPr>
        <w:t>Reflectie op de plannen voor en invulling van het State of the Region-event</w:t>
      </w:r>
    </w:p>
    <w:p w:rsidR="0017477A" w:rsidRDefault="008860EC">
      <w:pPr>
        <w:pStyle w:val="BodyA"/>
        <w:spacing w:line="360" w:lineRule="auto"/>
        <w:rPr>
          <w:rFonts w:ascii="Arial" w:eastAsia="Arial" w:hAnsi="Arial" w:cs="Arial"/>
          <w:sz w:val="24"/>
          <w:szCs w:val="24"/>
        </w:rPr>
      </w:pPr>
      <w:r>
        <w:rPr>
          <w:rFonts w:ascii="Arial" w:hAnsi="Arial"/>
          <w:sz w:val="24"/>
          <w:szCs w:val="24"/>
        </w:rPr>
        <w:t>De IAB heeft actief meegedacht over de opzet en invulling van het State of the Region-event. Dit heeft er o.a. toe geleid dat de IAB adviseert om voor dat event ‘Growing Together’ (gebaseerd op de visie om in te zetten op inclusieve groei) te kiezen als overkoepelend perspectief (zie ook punt 4 hieronder). De IAB biedt verder aan een lid af te vaardigen om mee te werken de operationalisering van de State of the Region.</w:t>
      </w:r>
    </w:p>
    <w:p w:rsidR="0017477A" w:rsidRDefault="0017477A">
      <w:pPr>
        <w:pStyle w:val="BodyA"/>
        <w:spacing w:line="360" w:lineRule="auto"/>
        <w:rPr>
          <w:rFonts w:ascii="Arial" w:eastAsia="Arial" w:hAnsi="Arial" w:cs="Arial"/>
          <w:sz w:val="24"/>
          <w:szCs w:val="24"/>
        </w:rPr>
      </w:pPr>
    </w:p>
    <w:p w:rsidR="0017477A" w:rsidRDefault="008860EC">
      <w:pPr>
        <w:pStyle w:val="BodyA"/>
        <w:numPr>
          <w:ilvl w:val="0"/>
          <w:numId w:val="2"/>
        </w:numPr>
        <w:spacing w:line="360" w:lineRule="auto"/>
        <w:rPr>
          <w:rFonts w:ascii="Arial" w:eastAsia="Arial" w:hAnsi="Arial" w:cs="Arial"/>
          <w:b/>
          <w:bCs/>
          <w:i/>
          <w:iCs/>
          <w:sz w:val="24"/>
          <w:szCs w:val="24"/>
        </w:rPr>
      </w:pPr>
      <w:r>
        <w:rPr>
          <w:rFonts w:ascii="Arial" w:hAnsi="Arial"/>
          <w:b/>
          <w:bCs/>
          <w:i/>
          <w:iCs/>
          <w:sz w:val="24"/>
          <w:szCs w:val="24"/>
        </w:rPr>
        <w:t>Het formuleren van een overkoepelend perspectief</w:t>
      </w: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De inzichten uit de ‘gap’-analyse </w:t>
      </w:r>
      <w:r w:rsidR="00750D3F">
        <w:rPr>
          <w:rFonts w:ascii="Arial" w:hAnsi="Arial"/>
          <w:sz w:val="24"/>
          <w:szCs w:val="24"/>
        </w:rPr>
        <w:t>zijn</w:t>
      </w:r>
      <w:r>
        <w:rPr>
          <w:rFonts w:ascii="Arial" w:hAnsi="Arial"/>
          <w:sz w:val="24"/>
          <w:szCs w:val="24"/>
        </w:rPr>
        <w:t xml:space="preserve"> voor </w:t>
      </w:r>
      <w:r w:rsidR="00750D3F">
        <w:rPr>
          <w:rFonts w:ascii="Arial" w:hAnsi="Arial"/>
          <w:sz w:val="24"/>
          <w:szCs w:val="24"/>
        </w:rPr>
        <w:t xml:space="preserve">de </w:t>
      </w:r>
      <w:r>
        <w:rPr>
          <w:rFonts w:ascii="Arial" w:hAnsi="Arial"/>
          <w:sz w:val="24"/>
          <w:szCs w:val="24"/>
        </w:rPr>
        <w:t>IAB aanleiding geweest om een overkoepelend perspectief te formuleren, te weten ‘Inclusieve Groei’</w:t>
      </w:r>
      <w:r w:rsidR="00750D3F">
        <w:rPr>
          <w:rStyle w:val="Voetnootmarkering"/>
          <w:rFonts w:ascii="Arial" w:hAnsi="Arial"/>
          <w:sz w:val="24"/>
          <w:szCs w:val="24"/>
        </w:rPr>
        <w:footnoteReference w:id="3"/>
      </w:r>
      <w:r>
        <w:rPr>
          <w:rFonts w:ascii="Arial" w:hAnsi="Arial"/>
          <w:sz w:val="24"/>
          <w:szCs w:val="24"/>
        </w:rPr>
        <w:t>.</w:t>
      </w:r>
      <w:r w:rsidR="0075249D">
        <w:rPr>
          <w:rFonts w:ascii="Arial" w:hAnsi="Arial"/>
          <w:sz w:val="24"/>
          <w:szCs w:val="24"/>
        </w:rPr>
        <w:t xml:space="preserve"> De </w:t>
      </w:r>
      <w:r>
        <w:rPr>
          <w:rFonts w:ascii="Arial" w:hAnsi="Arial"/>
          <w:sz w:val="24"/>
          <w:szCs w:val="24"/>
        </w:rPr>
        <w:t xml:space="preserve">IAB heeft behoefte aan een dergelijk overkoepelend perspectief om zo de veelheid aan buitenlandse cases beter te </w:t>
      </w:r>
      <w:r w:rsidR="00750D3F">
        <w:rPr>
          <w:rFonts w:ascii="Arial" w:hAnsi="Arial"/>
          <w:sz w:val="24"/>
          <w:szCs w:val="24"/>
        </w:rPr>
        <w:t xml:space="preserve">kunnen </w:t>
      </w:r>
      <w:r>
        <w:rPr>
          <w:rFonts w:ascii="Arial" w:hAnsi="Arial"/>
          <w:sz w:val="24"/>
          <w:szCs w:val="24"/>
        </w:rPr>
        <w:t xml:space="preserve">selecteren, alsook gerichter te kunnen </w:t>
      </w:r>
      <w:r w:rsidR="00750D3F">
        <w:rPr>
          <w:rFonts w:ascii="Arial" w:hAnsi="Arial"/>
          <w:sz w:val="24"/>
          <w:szCs w:val="24"/>
        </w:rPr>
        <w:t>onder</w:t>
      </w:r>
      <w:r>
        <w:rPr>
          <w:rFonts w:ascii="Arial" w:hAnsi="Arial"/>
          <w:sz w:val="24"/>
          <w:szCs w:val="24"/>
        </w:rPr>
        <w:t xml:space="preserve">zoeken. </w:t>
      </w:r>
      <w:r w:rsidR="00750D3F">
        <w:rPr>
          <w:rFonts w:ascii="Arial" w:hAnsi="Arial"/>
          <w:sz w:val="24"/>
          <w:szCs w:val="24"/>
        </w:rPr>
        <w:t xml:space="preserve">De </w:t>
      </w:r>
      <w:r>
        <w:rPr>
          <w:rFonts w:ascii="Arial" w:hAnsi="Arial"/>
          <w:sz w:val="24"/>
          <w:szCs w:val="24"/>
        </w:rPr>
        <w:t xml:space="preserve">IAB heeft gekozen voor ‘inclusieve groei’ vanuit de vaststelling dat het in veel opzichten heel goed gaat met de MRA, maar dat niet iedereen in de MRA in gelijke mate van deze positieve ontwikkeling profiteert en/of meedoet. Dit kan een bedreiging gaan vormen voor de toekomstige economische ontwikkeling van de MRA en heeft </w:t>
      </w:r>
      <w:r w:rsidR="00750D3F">
        <w:rPr>
          <w:rFonts w:ascii="Arial" w:hAnsi="Arial"/>
          <w:sz w:val="24"/>
          <w:szCs w:val="24"/>
        </w:rPr>
        <w:t xml:space="preserve">een </w:t>
      </w:r>
      <w:r>
        <w:rPr>
          <w:rFonts w:ascii="Arial" w:hAnsi="Arial"/>
          <w:sz w:val="24"/>
          <w:szCs w:val="24"/>
        </w:rPr>
        <w:t xml:space="preserve">negatief effect op de sociale cohesie. In stedelijke regio’s als Silicon Valley, London en Seattle beginnen de negatieve gevolgen van een niet-inclusieve groei steeds duidelijker te worden. De IAB meent daarom dat het belangrijk is om nog nadrukkelijker na te denken over </w:t>
      </w:r>
      <w:r>
        <w:rPr>
          <w:rFonts w:ascii="Arial" w:hAnsi="Arial"/>
          <w:i/>
          <w:iCs/>
          <w:sz w:val="24"/>
          <w:szCs w:val="24"/>
        </w:rPr>
        <w:t>hoe alle burgers, communities en steden binnen de MRA onderdeel kunnen worden gemaakt van de groei van onze regio</w:t>
      </w:r>
      <w:r>
        <w:rPr>
          <w:rFonts w:ascii="Arial" w:hAnsi="Arial"/>
          <w:sz w:val="24"/>
          <w:szCs w:val="24"/>
        </w:rPr>
        <w:t>. De IAB neemt zich voor om de komende tijd vanuit dit overkoepelend perspectief te blijven zoeken naar concrete voorbeelden (buitenlandse best practi</w:t>
      </w:r>
      <w:r w:rsidR="00750D3F">
        <w:rPr>
          <w:rFonts w:ascii="Arial" w:hAnsi="Arial"/>
          <w:sz w:val="24"/>
          <w:szCs w:val="24"/>
        </w:rPr>
        <w:t>c</w:t>
      </w:r>
      <w:r>
        <w:rPr>
          <w:rFonts w:ascii="Arial" w:hAnsi="Arial"/>
          <w:sz w:val="24"/>
          <w:szCs w:val="24"/>
        </w:rPr>
        <w:t xml:space="preserve">es) die hieraan invulling geven. </w:t>
      </w:r>
    </w:p>
    <w:p w:rsidR="0017477A" w:rsidRDefault="0017477A">
      <w:pPr>
        <w:pStyle w:val="BodyA"/>
        <w:spacing w:line="360" w:lineRule="auto"/>
        <w:rPr>
          <w:rFonts w:ascii="Arial" w:eastAsia="Arial" w:hAnsi="Arial" w:cs="Arial"/>
          <w:sz w:val="24"/>
          <w:szCs w:val="24"/>
        </w:rPr>
      </w:pPr>
    </w:p>
    <w:p w:rsidR="0017477A" w:rsidRDefault="008860EC">
      <w:pPr>
        <w:pStyle w:val="BodyA"/>
        <w:spacing w:line="360" w:lineRule="auto"/>
        <w:rPr>
          <w:rFonts w:ascii="Arial" w:eastAsia="Arial" w:hAnsi="Arial" w:cs="Arial"/>
          <w:b/>
          <w:bCs/>
          <w:i/>
          <w:iCs/>
          <w:sz w:val="24"/>
          <w:szCs w:val="24"/>
        </w:rPr>
      </w:pPr>
      <w:r>
        <w:rPr>
          <w:rFonts w:ascii="Arial" w:hAnsi="Arial"/>
          <w:b/>
          <w:bCs/>
          <w:i/>
          <w:iCs/>
          <w:sz w:val="24"/>
          <w:szCs w:val="24"/>
        </w:rPr>
        <w:t>Voorstel voor werkwijze</w:t>
      </w: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Om de relevantie en effectiviteit van het werk van de IAB zo groot mogelijk te laten zijn stelt </w:t>
      </w:r>
      <w:r w:rsidR="00750D3F">
        <w:rPr>
          <w:rFonts w:ascii="Arial" w:hAnsi="Arial"/>
          <w:sz w:val="24"/>
          <w:szCs w:val="24"/>
        </w:rPr>
        <w:t>de IAB</w:t>
      </w:r>
      <w:r>
        <w:rPr>
          <w:rFonts w:ascii="Arial" w:hAnsi="Arial"/>
          <w:sz w:val="24"/>
          <w:szCs w:val="24"/>
        </w:rPr>
        <w:t xml:space="preserve"> de volgende werkwijze voor:</w:t>
      </w:r>
    </w:p>
    <w:p w:rsidR="0017477A" w:rsidRDefault="008860EC">
      <w:pPr>
        <w:pStyle w:val="BodyA"/>
        <w:spacing w:line="360" w:lineRule="auto"/>
        <w:rPr>
          <w:rFonts w:ascii="Arial" w:eastAsia="Arial" w:hAnsi="Arial" w:cs="Arial"/>
          <w:sz w:val="24"/>
          <w:szCs w:val="24"/>
        </w:rPr>
      </w:pPr>
      <w:r w:rsidRPr="00B75BB4">
        <w:rPr>
          <w:rFonts w:ascii="Arial" w:hAnsi="Arial"/>
          <w:sz w:val="24"/>
          <w:szCs w:val="24"/>
          <w:u w:val="single"/>
        </w:rPr>
        <w:t>Stap 1</w:t>
      </w:r>
      <w:r>
        <w:rPr>
          <w:rFonts w:ascii="Arial" w:hAnsi="Arial"/>
          <w:sz w:val="24"/>
          <w:szCs w:val="24"/>
        </w:rPr>
        <w:t xml:space="preserve">. Voorstellen invalshoek — Per </w:t>
      </w:r>
      <w:r w:rsidR="00750D3F">
        <w:rPr>
          <w:rFonts w:ascii="Arial" w:hAnsi="Arial"/>
          <w:sz w:val="24"/>
          <w:szCs w:val="24"/>
        </w:rPr>
        <w:t>u</w:t>
      </w:r>
      <w:r>
        <w:rPr>
          <w:rFonts w:ascii="Arial" w:hAnsi="Arial"/>
          <w:sz w:val="24"/>
          <w:szCs w:val="24"/>
        </w:rPr>
        <w:t xml:space="preserve">itdaging wordt na internationale verkenning </w:t>
      </w:r>
      <w:r w:rsidR="0075249D">
        <w:rPr>
          <w:rFonts w:ascii="Arial" w:hAnsi="Arial"/>
          <w:sz w:val="24"/>
          <w:szCs w:val="24"/>
        </w:rPr>
        <w:t xml:space="preserve">door de IAB </w:t>
      </w:r>
      <w:r>
        <w:rPr>
          <w:rFonts w:ascii="Arial" w:hAnsi="Arial"/>
          <w:sz w:val="24"/>
          <w:szCs w:val="24"/>
        </w:rPr>
        <w:t>een relevante invalshoek vastgesteld. Daarna wordt deze ter toets voorgelegd bij de Boardorganisatie en Agendacommissie. Voorbeeld: voor de uitdaging Talent van de Toekomst wordt de invalshoek Zelf-leerzaamheid &amp; Peer2Peer learning voorgesteld.</w:t>
      </w:r>
    </w:p>
    <w:p w:rsidR="0017477A" w:rsidRDefault="008860EC">
      <w:pPr>
        <w:pStyle w:val="BodyA"/>
        <w:spacing w:line="360" w:lineRule="auto"/>
        <w:rPr>
          <w:rFonts w:ascii="Arial" w:eastAsia="Arial" w:hAnsi="Arial" w:cs="Arial"/>
          <w:sz w:val="24"/>
          <w:szCs w:val="24"/>
        </w:rPr>
      </w:pPr>
      <w:r w:rsidRPr="00B75BB4">
        <w:rPr>
          <w:rFonts w:ascii="Arial" w:hAnsi="Arial"/>
          <w:sz w:val="24"/>
          <w:szCs w:val="24"/>
          <w:u w:val="single"/>
        </w:rPr>
        <w:t>Stap 2</w:t>
      </w:r>
      <w:r>
        <w:rPr>
          <w:rFonts w:ascii="Arial" w:hAnsi="Arial"/>
          <w:sz w:val="24"/>
          <w:szCs w:val="24"/>
        </w:rPr>
        <w:t>. Stakeholder Assessment Meeting — Na goedkeuring van de invalshoek wordt, i.s.m. de boardorganisatie, een bijeenkomst georganiseerd met relevante stakeholders voor nader assessment en invulling. Deze bijeenkomst heeft als resultaat een concreet advies of actie(s).</w:t>
      </w:r>
    </w:p>
    <w:p w:rsidR="0017477A" w:rsidRDefault="008860EC">
      <w:pPr>
        <w:pStyle w:val="BodyA"/>
        <w:spacing w:line="360" w:lineRule="auto"/>
        <w:rPr>
          <w:rFonts w:ascii="Arial" w:eastAsia="Arial" w:hAnsi="Arial" w:cs="Arial"/>
          <w:sz w:val="24"/>
          <w:szCs w:val="24"/>
        </w:rPr>
      </w:pPr>
      <w:r w:rsidRPr="00B75BB4">
        <w:rPr>
          <w:rFonts w:ascii="Arial" w:hAnsi="Arial"/>
          <w:sz w:val="24"/>
          <w:szCs w:val="24"/>
          <w:u w:val="single"/>
        </w:rPr>
        <w:t>Stap 3</w:t>
      </w:r>
      <w:r>
        <w:rPr>
          <w:rFonts w:ascii="Arial" w:hAnsi="Arial"/>
          <w:sz w:val="24"/>
          <w:szCs w:val="24"/>
        </w:rPr>
        <w:t xml:space="preserve">. Follow up goedkeuring — het advies wordt teruggelegd in de Agendacommissie samen met een voorstel voor een follow up. In de Agendacommissie kan vervolgens worden vastgesteld of er aanleiding is te verkennen of/hoe de best practices te vertalen </w:t>
      </w:r>
      <w:r w:rsidR="0075249D">
        <w:rPr>
          <w:rFonts w:ascii="Arial" w:hAnsi="Arial"/>
          <w:sz w:val="24"/>
          <w:szCs w:val="24"/>
        </w:rPr>
        <w:t xml:space="preserve">zijn </w:t>
      </w:r>
      <w:r>
        <w:rPr>
          <w:rFonts w:ascii="Arial" w:hAnsi="Arial"/>
          <w:sz w:val="24"/>
          <w:szCs w:val="24"/>
        </w:rPr>
        <w:t xml:space="preserve">naar de MRA-context en welke partijen daarbij te betrekken. De uitvoering van deze follow up wordt gedaan door de boardorganisatie. De IAB kan haar internationale netwerk beschikbaar stellen. </w:t>
      </w:r>
    </w:p>
    <w:p w:rsidR="0017477A" w:rsidRDefault="0017477A">
      <w:pPr>
        <w:pStyle w:val="BodyA"/>
        <w:spacing w:line="360" w:lineRule="auto"/>
        <w:rPr>
          <w:rFonts w:ascii="Arial" w:eastAsia="Arial" w:hAnsi="Arial" w:cs="Arial"/>
          <w:sz w:val="24"/>
          <w:szCs w:val="24"/>
        </w:rPr>
      </w:pP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Bovenstaande werkaanpak past bij het gegeven dat de IAB leden een beperkte tijd beschikbaar hebben. Ze zien zichzelf in een activerende en verbindende rol. Opvolging en uitvoering zal door de Boardorganisatie </w:t>
      </w:r>
      <w:r w:rsidR="0075249D">
        <w:rPr>
          <w:rFonts w:ascii="Arial" w:hAnsi="Arial"/>
          <w:sz w:val="24"/>
          <w:szCs w:val="24"/>
        </w:rPr>
        <w:t xml:space="preserve">en het Boardnetwerk </w:t>
      </w:r>
      <w:r>
        <w:rPr>
          <w:rFonts w:ascii="Arial" w:hAnsi="Arial"/>
          <w:sz w:val="24"/>
          <w:szCs w:val="24"/>
        </w:rPr>
        <w:t xml:space="preserve">worden gedaan. Elk IAB lid zal zich direct verbinden aan </w:t>
      </w:r>
      <w:r w:rsidR="00750D3F">
        <w:rPr>
          <w:rFonts w:ascii="Arial" w:hAnsi="Arial"/>
          <w:sz w:val="24"/>
          <w:szCs w:val="24"/>
        </w:rPr>
        <w:t>éé</w:t>
      </w:r>
      <w:r>
        <w:rPr>
          <w:rFonts w:ascii="Arial" w:hAnsi="Arial"/>
          <w:sz w:val="24"/>
          <w:szCs w:val="24"/>
        </w:rPr>
        <w:t>n van de uitdagingen.</w:t>
      </w:r>
    </w:p>
    <w:p w:rsidR="0017477A" w:rsidRDefault="0017477A">
      <w:pPr>
        <w:pStyle w:val="BodyA"/>
        <w:spacing w:line="360" w:lineRule="auto"/>
        <w:rPr>
          <w:rFonts w:ascii="Arial" w:eastAsia="Arial" w:hAnsi="Arial" w:cs="Arial"/>
          <w:sz w:val="24"/>
          <w:szCs w:val="24"/>
        </w:rPr>
      </w:pPr>
    </w:p>
    <w:p w:rsidR="0017477A" w:rsidRDefault="008860EC">
      <w:pPr>
        <w:pStyle w:val="BodyA"/>
        <w:spacing w:line="360" w:lineRule="auto"/>
      </w:pPr>
      <w:r>
        <w:rPr>
          <w:rFonts w:ascii="Arial" w:hAnsi="Arial"/>
          <w:sz w:val="24"/>
          <w:szCs w:val="24"/>
        </w:rPr>
        <w:t xml:space="preserve">Het IAB dankt de Economic Board voor het vertrouwen en ziet uit naar een constructieve samenwerking </w:t>
      </w:r>
      <w:r w:rsidR="00750D3F">
        <w:rPr>
          <w:rFonts w:ascii="Arial" w:hAnsi="Arial"/>
          <w:sz w:val="24"/>
          <w:szCs w:val="24"/>
        </w:rPr>
        <w:t xml:space="preserve">gericht op het bevorderen van verdere inclusieve groei in de </w:t>
      </w:r>
      <w:r>
        <w:rPr>
          <w:rFonts w:ascii="Arial" w:hAnsi="Arial"/>
          <w:sz w:val="24"/>
          <w:szCs w:val="24"/>
        </w:rPr>
        <w:t xml:space="preserve">MRA. </w:t>
      </w:r>
    </w:p>
    <w:p w:rsidR="0017477A" w:rsidRDefault="0017477A">
      <w:pPr>
        <w:pStyle w:val="BodyA"/>
        <w:spacing w:line="360" w:lineRule="auto"/>
        <w:rPr>
          <w:rFonts w:ascii="Arial" w:eastAsia="Arial" w:hAnsi="Arial" w:cs="Arial"/>
          <w:sz w:val="24"/>
          <w:szCs w:val="24"/>
        </w:rPr>
      </w:pPr>
    </w:p>
    <w:p w:rsidR="0017477A" w:rsidRDefault="008860EC">
      <w:pPr>
        <w:pStyle w:val="BodyA"/>
        <w:spacing w:line="360" w:lineRule="auto"/>
        <w:rPr>
          <w:rFonts w:ascii="Arial" w:eastAsia="Arial" w:hAnsi="Arial" w:cs="Arial"/>
          <w:sz w:val="24"/>
          <w:szCs w:val="24"/>
        </w:rPr>
      </w:pPr>
      <w:r>
        <w:rPr>
          <w:rFonts w:ascii="Arial" w:hAnsi="Arial"/>
          <w:sz w:val="24"/>
          <w:szCs w:val="24"/>
        </w:rPr>
        <w:t>In afwachting van uw reactie,</w:t>
      </w:r>
    </w:p>
    <w:p w:rsidR="0017477A" w:rsidRDefault="0017477A">
      <w:pPr>
        <w:pStyle w:val="BodyA"/>
        <w:spacing w:line="360" w:lineRule="auto"/>
        <w:rPr>
          <w:rFonts w:ascii="Arial" w:eastAsia="Arial" w:hAnsi="Arial" w:cs="Arial"/>
          <w:sz w:val="24"/>
          <w:szCs w:val="24"/>
        </w:rPr>
      </w:pP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Ruben Nieuwenhuis (directeur StartupAmsterdam, voorzitter a.i.), </w:t>
      </w: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Corinne Vigreux (mede oprichter en directeur TomTom), </w:t>
      </w: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Rick Pijpers (Marketing directeur Equinix), </w:t>
      </w:r>
    </w:p>
    <w:p w:rsidR="0017477A" w:rsidRDefault="008860EC">
      <w:pPr>
        <w:pStyle w:val="BodyA"/>
        <w:spacing w:line="360" w:lineRule="auto"/>
        <w:rPr>
          <w:rFonts w:ascii="Arial" w:eastAsia="Arial" w:hAnsi="Arial" w:cs="Arial"/>
          <w:sz w:val="24"/>
          <w:szCs w:val="24"/>
        </w:rPr>
      </w:pPr>
      <w:r>
        <w:rPr>
          <w:rFonts w:ascii="Arial" w:hAnsi="Arial"/>
          <w:sz w:val="24"/>
          <w:szCs w:val="24"/>
        </w:rPr>
        <w:t>Egon de Haas (Internati</w:t>
      </w:r>
      <w:r w:rsidR="0075249D">
        <w:rPr>
          <w:rFonts w:ascii="Arial" w:hAnsi="Arial"/>
          <w:sz w:val="24"/>
          <w:szCs w:val="24"/>
        </w:rPr>
        <w:t>onaal directeur publieke sector</w:t>
      </w:r>
      <w:r>
        <w:rPr>
          <w:rFonts w:ascii="Arial" w:hAnsi="Arial"/>
          <w:sz w:val="24"/>
          <w:szCs w:val="24"/>
        </w:rPr>
        <w:t xml:space="preserve"> PWC), </w:t>
      </w:r>
    </w:p>
    <w:p w:rsidR="0017477A" w:rsidRDefault="008860EC">
      <w:pPr>
        <w:pStyle w:val="BodyA"/>
        <w:spacing w:line="360" w:lineRule="auto"/>
        <w:rPr>
          <w:rFonts w:ascii="Arial" w:eastAsia="Arial" w:hAnsi="Arial" w:cs="Arial"/>
          <w:sz w:val="24"/>
          <w:szCs w:val="24"/>
        </w:rPr>
      </w:pPr>
      <w:r>
        <w:rPr>
          <w:rFonts w:ascii="Arial" w:hAnsi="Arial"/>
          <w:sz w:val="24"/>
          <w:szCs w:val="24"/>
        </w:rPr>
        <w:t xml:space="preserve">Jesse Jorg (lid Young on Board en founder van Wethecity) </w:t>
      </w:r>
    </w:p>
    <w:p w:rsidR="0017477A" w:rsidRPr="00E30942" w:rsidRDefault="008860EC">
      <w:pPr>
        <w:pStyle w:val="BodyA"/>
        <w:spacing w:line="360" w:lineRule="auto"/>
      </w:pPr>
      <w:r w:rsidRPr="00E30942">
        <w:rPr>
          <w:rFonts w:ascii="Arial" w:hAnsi="Arial"/>
          <w:sz w:val="24"/>
          <w:szCs w:val="24"/>
        </w:rPr>
        <w:t>Andrea</w:t>
      </w:r>
      <w:r w:rsidR="0075249D">
        <w:rPr>
          <w:rFonts w:ascii="Arial" w:hAnsi="Arial"/>
          <w:sz w:val="24"/>
          <w:szCs w:val="24"/>
        </w:rPr>
        <w:t xml:space="preserve"> Maier (hoogleraar gerontologie</w:t>
      </w:r>
      <w:r w:rsidRPr="00E30942">
        <w:rPr>
          <w:rFonts w:ascii="Arial" w:hAnsi="Arial"/>
          <w:sz w:val="24"/>
          <w:szCs w:val="24"/>
        </w:rPr>
        <w:t xml:space="preserve"> VU en</w:t>
      </w:r>
      <w:r w:rsidR="00750D3F" w:rsidRPr="00E30942">
        <w:rPr>
          <w:rFonts w:ascii="Arial" w:hAnsi="Arial"/>
          <w:sz w:val="24"/>
          <w:szCs w:val="24"/>
        </w:rPr>
        <w:t xml:space="preserve"> directeur Medicine &amp; Community Care </w:t>
      </w:r>
      <w:r w:rsidR="00E30942" w:rsidRPr="00B75BB4">
        <w:rPr>
          <w:rFonts w:ascii="Arial" w:hAnsi="Arial"/>
          <w:sz w:val="24"/>
          <w:szCs w:val="24"/>
        </w:rPr>
        <w:t>en p</w:t>
      </w:r>
      <w:r w:rsidR="00750D3F" w:rsidRPr="00E30942">
        <w:rPr>
          <w:rFonts w:ascii="Arial" w:hAnsi="Arial"/>
          <w:sz w:val="24"/>
          <w:szCs w:val="24"/>
        </w:rPr>
        <w:t>rofessorial Fellow General Medicine and Aged Care Universit</w:t>
      </w:r>
      <w:r w:rsidR="00E30942" w:rsidRPr="00B75BB4">
        <w:rPr>
          <w:rFonts w:ascii="Arial" w:hAnsi="Arial"/>
          <w:sz w:val="24"/>
          <w:szCs w:val="24"/>
        </w:rPr>
        <w:t>eit van</w:t>
      </w:r>
      <w:r w:rsidR="00750D3F" w:rsidRPr="00E30942">
        <w:rPr>
          <w:rFonts w:ascii="Arial" w:hAnsi="Arial"/>
          <w:sz w:val="24"/>
          <w:szCs w:val="24"/>
        </w:rPr>
        <w:t xml:space="preserve"> Melbourne</w:t>
      </w:r>
      <w:r w:rsidRPr="00E30942">
        <w:rPr>
          <w:rFonts w:ascii="Arial" w:hAnsi="Arial"/>
          <w:sz w:val="24"/>
          <w:szCs w:val="24"/>
        </w:rPr>
        <w:t xml:space="preserve">), </w:t>
      </w:r>
    </w:p>
    <w:sectPr w:rsidR="0017477A" w:rsidRPr="00E30942">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C2" w:rsidRDefault="00A534C2">
      <w:r>
        <w:separator/>
      </w:r>
    </w:p>
  </w:endnote>
  <w:endnote w:type="continuationSeparator" w:id="0">
    <w:p w:rsidR="00A534C2" w:rsidRDefault="00A5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7A" w:rsidRDefault="0017477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C2" w:rsidRDefault="00A534C2">
      <w:r>
        <w:separator/>
      </w:r>
    </w:p>
  </w:footnote>
  <w:footnote w:type="continuationSeparator" w:id="0">
    <w:p w:rsidR="00A534C2" w:rsidRDefault="00A534C2">
      <w:r>
        <w:continuationSeparator/>
      </w:r>
    </w:p>
  </w:footnote>
  <w:footnote w:id="1">
    <w:p w:rsidR="00E0347B" w:rsidRPr="00E0347B" w:rsidRDefault="00E0347B">
      <w:pPr>
        <w:pStyle w:val="Voetnoottekst"/>
        <w:rPr>
          <w:lang w:val="nl-NL"/>
        </w:rPr>
      </w:pPr>
      <w:r>
        <w:rPr>
          <w:rStyle w:val="Voetnootmarkering"/>
        </w:rPr>
        <w:footnoteRef/>
      </w:r>
      <w:r w:rsidRPr="00E0347B">
        <w:rPr>
          <w:lang w:val="nl-NL"/>
        </w:rPr>
        <w:t xml:space="preserve"> </w:t>
      </w:r>
      <w:r>
        <w:rPr>
          <w:lang w:val="nl-NL"/>
        </w:rPr>
        <w:t xml:space="preserve">Zie: </w:t>
      </w:r>
      <w:hyperlink r:id="rId1" w:history="1">
        <w:r w:rsidRPr="00AC09B7">
          <w:rPr>
            <w:rStyle w:val="Hyperlink"/>
            <w:lang w:val="nl-NL"/>
          </w:rPr>
          <w:t>https://www.amsterdameconomicboard.com/international-advisory-board</w:t>
        </w:r>
      </w:hyperlink>
      <w:r>
        <w:rPr>
          <w:lang w:val="nl-NL"/>
        </w:rPr>
        <w:t xml:space="preserve">. </w:t>
      </w:r>
    </w:p>
  </w:footnote>
  <w:footnote w:id="2">
    <w:p w:rsidR="0078585F" w:rsidRPr="00B75BB4" w:rsidRDefault="0078585F">
      <w:pPr>
        <w:pStyle w:val="Voetnoottekst"/>
        <w:rPr>
          <w:lang w:val="nl-NL"/>
        </w:rPr>
      </w:pPr>
      <w:r>
        <w:rPr>
          <w:rStyle w:val="Voetnootmarkering"/>
        </w:rPr>
        <w:footnoteRef/>
      </w:r>
      <w:r w:rsidRPr="00B75BB4">
        <w:rPr>
          <w:lang w:val="nl-NL"/>
        </w:rPr>
        <w:t xml:space="preserve"> Zie: </w:t>
      </w:r>
      <w:hyperlink r:id="rId2" w:history="1">
        <w:r w:rsidRPr="00B75BB4">
          <w:rPr>
            <w:rStyle w:val="Hyperlink"/>
            <w:lang w:val="nl-NL"/>
          </w:rPr>
          <w:t>https://www.amsterdameconomicboard.com/international-advisory-board</w:t>
        </w:r>
      </w:hyperlink>
      <w:r>
        <w:rPr>
          <w:lang w:val="nl-NL"/>
        </w:rPr>
        <w:t xml:space="preserve">. </w:t>
      </w:r>
    </w:p>
  </w:footnote>
  <w:footnote w:id="3">
    <w:p w:rsidR="00750D3F" w:rsidRPr="00B75BB4" w:rsidRDefault="00750D3F">
      <w:pPr>
        <w:pStyle w:val="Voetnoottekst"/>
        <w:rPr>
          <w:lang w:val="nl-NL"/>
        </w:rPr>
      </w:pPr>
      <w:r>
        <w:rPr>
          <w:rStyle w:val="Voetnootmarkering"/>
        </w:rPr>
        <w:footnoteRef/>
      </w:r>
      <w:r w:rsidRPr="00B75BB4">
        <w:rPr>
          <w:lang w:val="nl-NL"/>
        </w:rPr>
        <w:t xml:space="preserve"> Zie: https://www.amsterdameconomicboard.com/international-advisory-board.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7A" w:rsidRDefault="0017477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54BB"/>
    <w:multiLevelType w:val="hybridMultilevel"/>
    <w:tmpl w:val="737E0616"/>
    <w:lvl w:ilvl="0" w:tplc="EE0E337C">
      <w:numFmt w:val="bullet"/>
      <w:lvlText w:val="—"/>
      <w:lvlJc w:val="left"/>
      <w:pPr>
        <w:ind w:left="360" w:hanging="360"/>
      </w:pPr>
      <w:rPr>
        <w:rFonts w:ascii="Arial" w:eastAsia="Arial Unicode MS"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2B1851"/>
    <w:multiLevelType w:val="hybridMultilevel"/>
    <w:tmpl w:val="E1F63604"/>
    <w:lvl w:ilvl="0" w:tplc="F4167A9A">
      <w:numFmt w:val="bullet"/>
      <w:lvlText w:val="-"/>
      <w:lvlJc w:val="left"/>
      <w:pPr>
        <w:ind w:left="360" w:hanging="360"/>
      </w:pPr>
      <w:rPr>
        <w:rFonts w:ascii="Arial" w:eastAsia="Arial Unicode MS"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4250CD"/>
    <w:multiLevelType w:val="hybridMultilevel"/>
    <w:tmpl w:val="19CE46D0"/>
    <w:styleLink w:val="ImportedStyle1"/>
    <w:lvl w:ilvl="0" w:tplc="2594E0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C34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18484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4381D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74F0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A4F36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F8EBC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3E2F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4832D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B00066"/>
    <w:multiLevelType w:val="hybridMultilevel"/>
    <w:tmpl w:val="C9D0D9D4"/>
    <w:styleLink w:val="ImportedStyle2"/>
    <w:lvl w:ilvl="0" w:tplc="220EF0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F0F2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F67B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4095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160E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A6CF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A48C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468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41C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817028"/>
    <w:multiLevelType w:val="hybridMultilevel"/>
    <w:tmpl w:val="F3E89D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DE57FF1"/>
    <w:multiLevelType w:val="hybridMultilevel"/>
    <w:tmpl w:val="C9D0D9D4"/>
    <w:numStyleLink w:val="ImportedStyle2"/>
  </w:abstractNum>
  <w:abstractNum w:abstractNumId="6" w15:restartNumberingAfterBreak="0">
    <w:nsid w:val="5BA04D84"/>
    <w:multiLevelType w:val="hybridMultilevel"/>
    <w:tmpl w:val="19CE46D0"/>
    <w:numStyleLink w:val="ImportedStyle1"/>
  </w:abstractNum>
  <w:num w:numId="1">
    <w:abstractNumId w:val="2"/>
  </w:num>
  <w:num w:numId="2">
    <w:abstractNumId w:val="6"/>
  </w:num>
  <w:num w:numId="3">
    <w:abstractNumId w:val="3"/>
  </w:num>
  <w:num w:numId="4">
    <w:abstractNumId w:val="5"/>
  </w:num>
  <w:num w:numId="5">
    <w:abstractNumId w:val="6"/>
    <w:lvlOverride w:ilvl="0">
      <w:startOverride w:val="3"/>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7A"/>
    <w:rsid w:val="00090F0F"/>
    <w:rsid w:val="0017477A"/>
    <w:rsid w:val="004B40AB"/>
    <w:rsid w:val="00750D3F"/>
    <w:rsid w:val="0075249D"/>
    <w:rsid w:val="0078585F"/>
    <w:rsid w:val="008860EC"/>
    <w:rsid w:val="00A534C2"/>
    <w:rsid w:val="00B75BB4"/>
    <w:rsid w:val="00E0347B"/>
    <w:rsid w:val="00E30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F24F"/>
  <w15:docId w15:val="{D1EBC43B-329E-4B83-BFF5-C9FEA9A8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B40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0AB"/>
    <w:rPr>
      <w:rFonts w:ascii="Segoe UI" w:hAnsi="Segoe UI" w:cs="Segoe UI"/>
      <w:sz w:val="18"/>
      <w:szCs w:val="18"/>
      <w:lang w:val="en-US" w:eastAsia="en-US"/>
    </w:rPr>
  </w:style>
  <w:style w:type="paragraph" w:styleId="Voetnoottekst">
    <w:name w:val="footnote text"/>
    <w:basedOn w:val="Standaard"/>
    <w:link w:val="VoetnoottekstChar"/>
    <w:uiPriority w:val="99"/>
    <w:semiHidden/>
    <w:unhideWhenUsed/>
    <w:rsid w:val="00E0347B"/>
    <w:rPr>
      <w:sz w:val="20"/>
      <w:szCs w:val="20"/>
    </w:rPr>
  </w:style>
  <w:style w:type="character" w:customStyle="1" w:styleId="VoetnoottekstChar">
    <w:name w:val="Voetnoottekst Char"/>
    <w:basedOn w:val="Standaardalinea-lettertype"/>
    <w:link w:val="Voetnoottekst"/>
    <w:uiPriority w:val="99"/>
    <w:semiHidden/>
    <w:rsid w:val="00E0347B"/>
    <w:rPr>
      <w:lang w:val="en-US" w:eastAsia="en-US"/>
    </w:rPr>
  </w:style>
  <w:style w:type="character" w:styleId="Voetnootmarkering">
    <w:name w:val="footnote reference"/>
    <w:basedOn w:val="Standaardalinea-lettertype"/>
    <w:uiPriority w:val="99"/>
    <w:semiHidden/>
    <w:unhideWhenUsed/>
    <w:rsid w:val="00E0347B"/>
    <w:rPr>
      <w:vertAlign w:val="superscript"/>
    </w:rPr>
  </w:style>
  <w:style w:type="paragraph" w:styleId="Onderwerpvanopmerking">
    <w:name w:val="annotation subject"/>
    <w:basedOn w:val="Tekstopmerking"/>
    <w:next w:val="Tekstopmerking"/>
    <w:link w:val="OnderwerpvanopmerkingChar"/>
    <w:uiPriority w:val="99"/>
    <w:semiHidden/>
    <w:unhideWhenUsed/>
    <w:rsid w:val="00E0347B"/>
    <w:rPr>
      <w:b/>
      <w:bCs/>
    </w:rPr>
  </w:style>
  <w:style w:type="character" w:customStyle="1" w:styleId="OnderwerpvanopmerkingChar">
    <w:name w:val="Onderwerp van opmerking Char"/>
    <w:basedOn w:val="TekstopmerkingChar"/>
    <w:link w:val="Onderwerpvanopmerking"/>
    <w:uiPriority w:val="99"/>
    <w:semiHidden/>
    <w:rsid w:val="00E034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msterdameconomicboard.com/international-advisory-board" TargetMode="External"/><Relationship Id="rId1" Type="http://schemas.openxmlformats.org/officeDocument/2006/relationships/hyperlink" Target="https://www.amsterdameconomicboard.com/international-advisory-board"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47A6-FAE5-4C40-8547-8D01D06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1194</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Oskam</dc:creator>
  <cp:lastModifiedBy>Edwin Oskam</cp:lastModifiedBy>
  <cp:revision>4</cp:revision>
  <dcterms:created xsi:type="dcterms:W3CDTF">2017-09-17T15:44:00Z</dcterms:created>
  <dcterms:modified xsi:type="dcterms:W3CDTF">2017-09-18T08:31:00Z</dcterms:modified>
</cp:coreProperties>
</file>